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19E" w:rsidRDefault="00FE419E" w:rsidP="00FE419E">
      <w:pPr>
        <w:spacing w:after="0" w:line="259" w:lineRule="auto"/>
        <w:ind w:left="0" w:right="6" w:firstLine="0"/>
        <w:jc w:val="center"/>
      </w:pPr>
      <w:bookmarkStart w:id="0" w:name="_GoBack"/>
      <w:bookmarkEnd w:id="0"/>
      <w:r>
        <w:rPr>
          <w:b/>
        </w:rPr>
        <w:t>CONVOCATORIA A EVENTO MUNICIPAL</w:t>
      </w:r>
      <w:r w:rsidR="003A1606">
        <w:rPr>
          <w:b/>
        </w:rPr>
        <w:t>.</w:t>
      </w:r>
    </w:p>
    <w:p w:rsidR="00FE419E" w:rsidRDefault="00FE419E" w:rsidP="00FE419E">
      <w:pPr>
        <w:spacing w:after="100" w:line="259" w:lineRule="auto"/>
        <w:ind w:left="64" w:right="0" w:firstLine="0"/>
        <w:jc w:val="center"/>
      </w:pPr>
      <w:r>
        <w:rPr>
          <w:b/>
        </w:rPr>
        <w:t xml:space="preserve"> </w:t>
      </w:r>
    </w:p>
    <w:p w:rsidR="00FE419E" w:rsidRDefault="00FE419E" w:rsidP="003A1606">
      <w:pPr>
        <w:spacing w:after="127" w:line="360" w:lineRule="auto"/>
        <w:ind w:right="0"/>
        <w:rPr>
          <w:szCs w:val="24"/>
        </w:rPr>
      </w:pPr>
      <w:r w:rsidRPr="00A94938">
        <w:rPr>
          <w:szCs w:val="24"/>
        </w:rPr>
        <w:t xml:space="preserve">En el contexto de la Agenda 2030, las Instituciones de Educación Superior devienen en actores fundamentales para la consecución de los Objetivos de Desarrollo Sostenible, al incidir de manera decisiva en la formación de ciudadanos capaces de aprender a lo largo de toda la vida, y tener la capacidad de movilizar a su comunidad universitaria y entornos inmediatos para asumir nuevos desafíos en pos de la salvaguarda del planeta y de la propia humanidad. </w:t>
      </w:r>
    </w:p>
    <w:p w:rsidR="00FE419E" w:rsidRDefault="00FE419E" w:rsidP="003A1606">
      <w:pPr>
        <w:spacing w:after="127" w:line="360" w:lineRule="auto"/>
        <w:ind w:right="0"/>
      </w:pPr>
      <w:r>
        <w:t xml:space="preserve">El compromiso que representa tal implicación y demanda, obliga a la universidad como agente del desarrollo sostenible, a fortalecer su pertinencia, la eficacia y eficiencia de sus procesos, su responsabilidad y prácticas inclusivas a favor de la transformación social en todas sus dimensiones, principalmente en lo económico, sociocultural y ambiental. Al mismo tiempo, con ello se refrenda la educación superior como un bien público y social, un derecho humano universal, y un deber de los Estados.  </w:t>
      </w:r>
    </w:p>
    <w:p w:rsidR="00FE419E" w:rsidRDefault="00FE419E" w:rsidP="003A1606">
      <w:pPr>
        <w:spacing w:after="127" w:line="360" w:lineRule="auto"/>
        <w:ind w:right="0"/>
      </w:pPr>
      <w:r>
        <w:t>Partiendo de estas premisas, el Ministerio de Educación Superior y los Centros de Educación Superior (CES) les invitan a participar, del 9 al 13 de febrero, en el 15</w:t>
      </w:r>
      <w:r w:rsidRPr="00EE3474">
        <w:rPr>
          <w:vertAlign w:val="superscript"/>
        </w:rPr>
        <w:t xml:space="preserve">to. </w:t>
      </w:r>
      <w:r>
        <w:t xml:space="preserve">Congreso Internacional de Educación Superior Universidad 2026, en el Palacio de las Convenciones de La Habana, Cuba, para continuar dialogando y reflexionando sobre su papel en la transformación social, basado en los principios de la calidad, la sostenibilidad y su pertinencia. </w:t>
      </w:r>
    </w:p>
    <w:p w:rsidR="00FE419E" w:rsidRDefault="00FE419E" w:rsidP="003A1606">
      <w:pPr>
        <w:spacing w:after="127" w:line="360" w:lineRule="auto"/>
        <w:ind w:right="0"/>
      </w:pPr>
      <w:r>
        <w:t xml:space="preserve">Tal oportunidad se ha convertido en un momento de especial encuentro desde la base que favorece el diálogo de saberes entre todos los actores en cada una de las localidades del país, aportando al evento un marcado carácter participativo. La organización de eventos territoriales, como parte del proceso nacional preparatorio, constituye uno de los pilares del Congreso, un espacio para el intercambio científico, la confrontación y la exposición de los resultados más relevantes de la Educación Superior. </w:t>
      </w:r>
    </w:p>
    <w:p w:rsidR="00FE419E" w:rsidRPr="00CE7875" w:rsidRDefault="00FE419E" w:rsidP="003A1606">
      <w:pPr>
        <w:spacing w:after="127" w:line="360" w:lineRule="auto"/>
        <w:ind w:right="0"/>
        <w:rPr>
          <w:b/>
          <w:color w:val="FF0000"/>
        </w:rPr>
      </w:pPr>
      <w:r w:rsidRPr="00CE7875">
        <w:rPr>
          <w:b/>
          <w:color w:val="FF0000"/>
        </w:rPr>
        <w:t>A tales fines, nuestro Capítulo de Educadores en Salud, realizará el evento de base el 27 de marzo del 2025. Tendrá como sede el teatro de la Universidad de Ciencias Médicas de Ciego de Ávila, a las 9:00am.</w:t>
      </w:r>
    </w:p>
    <w:p w:rsidR="00FE419E" w:rsidRDefault="00FE419E" w:rsidP="003A1606">
      <w:pPr>
        <w:spacing w:after="127" w:line="360" w:lineRule="auto"/>
        <w:ind w:right="0"/>
      </w:pPr>
      <w:r>
        <w:t>La presidenta del Capítulo, responderá por la organización de dicho evento.</w:t>
      </w:r>
    </w:p>
    <w:p w:rsidR="00FE419E" w:rsidRDefault="00FE419E" w:rsidP="00FE419E">
      <w:pPr>
        <w:spacing w:after="127"/>
        <w:ind w:right="0"/>
      </w:pPr>
    </w:p>
    <w:p w:rsidR="00FE419E" w:rsidRDefault="00FE419E" w:rsidP="00FE419E">
      <w:pPr>
        <w:spacing w:after="127"/>
        <w:ind w:right="0"/>
      </w:pPr>
    </w:p>
    <w:p w:rsidR="00FE419E" w:rsidRDefault="00FE419E" w:rsidP="00FE419E">
      <w:pPr>
        <w:spacing w:after="127"/>
        <w:ind w:right="0"/>
      </w:pPr>
      <w:r>
        <w:lastRenderedPageBreak/>
        <w:t xml:space="preserve">En todos los casos los autores respetarán las normas de presentación de ponencias que se recogen en el </w:t>
      </w:r>
      <w:r>
        <w:rPr>
          <w:b/>
        </w:rPr>
        <w:t>Anexo No. 1</w:t>
      </w:r>
      <w:r w:rsidR="00BE4816">
        <w:rPr>
          <w:b/>
        </w:rPr>
        <w:t>.</w:t>
      </w:r>
      <w:r>
        <w:t xml:space="preserve">  </w:t>
      </w:r>
    </w:p>
    <w:p w:rsidR="00FE419E" w:rsidRPr="006B3EC4" w:rsidRDefault="00FE419E" w:rsidP="00FE419E">
      <w:pPr>
        <w:spacing w:after="34" w:line="259" w:lineRule="auto"/>
        <w:ind w:left="708" w:right="0" w:firstLine="0"/>
        <w:jc w:val="left"/>
        <w:rPr>
          <w:lang w:val="es-ES"/>
        </w:rPr>
      </w:pPr>
    </w:p>
    <w:p w:rsidR="00FE419E" w:rsidRDefault="00FE419E" w:rsidP="00FE419E">
      <w:pPr>
        <w:spacing w:after="7"/>
        <w:ind w:right="0"/>
      </w:pPr>
      <w:r>
        <w:t xml:space="preserve">Durante el proceso preparatorio se deberán enfatizar las acciones divulgativas a través de los diversos medios y vías con el fin de garantizar que la información llegue a todos los interesados. </w:t>
      </w:r>
    </w:p>
    <w:p w:rsidR="00FE419E" w:rsidRDefault="00FE419E" w:rsidP="00FE419E">
      <w:pPr>
        <w:spacing w:after="7"/>
        <w:ind w:right="0"/>
      </w:pPr>
    </w:p>
    <w:p w:rsidR="00FE419E" w:rsidRDefault="00FE419E" w:rsidP="00FE419E">
      <w:pPr>
        <w:spacing w:after="7"/>
        <w:ind w:right="0"/>
      </w:pPr>
      <w:r>
        <w:t xml:space="preserve">Este evento constituye también una vía de estimulación y reconocimiento a los resultados más destacados, así como una cantera para la selección de los participantes en los siguientes niveles. </w:t>
      </w:r>
    </w:p>
    <w:p w:rsidR="00FE419E" w:rsidRDefault="00FE419E" w:rsidP="00FE419E">
      <w:pPr>
        <w:spacing w:after="7"/>
        <w:ind w:right="0"/>
      </w:pPr>
    </w:p>
    <w:p w:rsidR="00FE419E" w:rsidRDefault="00FE419E" w:rsidP="00FE419E">
      <w:pPr>
        <w:spacing w:after="7"/>
        <w:ind w:right="0"/>
      </w:pPr>
      <w:r>
        <w:t xml:space="preserve">El Departamento de Eventos en coordinación con otras direcciones del ministerio, convocará al evento de los Organismos de la Administración Central del Estado (OACEs) y Escuelas Ramales. </w:t>
      </w:r>
    </w:p>
    <w:p w:rsidR="00FE419E" w:rsidRDefault="00FE419E" w:rsidP="00FE419E">
      <w:pPr>
        <w:spacing w:after="0" w:line="259" w:lineRule="auto"/>
        <w:ind w:left="0" w:right="0" w:firstLine="0"/>
        <w:jc w:val="left"/>
      </w:pPr>
      <w:r>
        <w:t xml:space="preserve"> </w:t>
      </w:r>
    </w:p>
    <w:p w:rsidR="00FE419E" w:rsidRDefault="00FE419E" w:rsidP="00FE419E">
      <w:pPr>
        <w:spacing w:after="0" w:line="259" w:lineRule="auto"/>
        <w:ind w:left="0" w:right="0" w:firstLine="0"/>
        <w:jc w:val="left"/>
        <w:rPr>
          <w:b/>
        </w:rPr>
      </w:pPr>
      <w:r>
        <w:rPr>
          <w:b/>
        </w:rPr>
        <w:t xml:space="preserve"> </w:t>
      </w: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rPr>
          <w:b/>
        </w:rPr>
      </w:pPr>
    </w:p>
    <w:p w:rsidR="00FE419E" w:rsidRDefault="00FE419E" w:rsidP="00FE419E">
      <w:pPr>
        <w:spacing w:after="0" w:line="259" w:lineRule="auto"/>
        <w:ind w:left="0" w:right="0" w:firstLine="0"/>
        <w:jc w:val="left"/>
      </w:pPr>
      <w:r>
        <w:rPr>
          <w:b/>
        </w:rPr>
        <w:lastRenderedPageBreak/>
        <w:t>Anexo No. 1. Normas de presentación de trabajo</w:t>
      </w:r>
      <w:r w:rsidRPr="00ED4376">
        <w:rPr>
          <w:b/>
        </w:rPr>
        <w:t>s.</w:t>
      </w:r>
      <w:r>
        <w:t xml:space="preserve">  </w:t>
      </w:r>
    </w:p>
    <w:p w:rsidR="00FE419E" w:rsidRDefault="00FE419E" w:rsidP="00FE419E">
      <w:pPr>
        <w:spacing w:after="0" w:line="259" w:lineRule="auto"/>
        <w:ind w:left="0" w:right="0" w:firstLine="0"/>
        <w:jc w:val="left"/>
      </w:pPr>
      <w:r>
        <w:t xml:space="preserve"> </w:t>
      </w:r>
    </w:p>
    <w:p w:rsidR="00FE419E" w:rsidRDefault="00FE419E" w:rsidP="00FE419E">
      <w:pPr>
        <w:spacing w:after="0" w:line="360" w:lineRule="auto"/>
        <w:ind w:right="0"/>
      </w:pPr>
      <w:r>
        <w:t xml:space="preserve">Los trabajos deben entregarse en ficheros PDF, escritos en tipografía Arial, a 12 puntos, a un espacio de interlineado, tamaño carta (8 ½ x 11 o 21.59 cm. x 27.94 cm.) y márgenes de 2.5 cm. por cada lado. La alineación de los párrafos es justificada y la extensión máxima de los trabajos es de 10 cuartillas (incluidos los anexos). </w:t>
      </w:r>
    </w:p>
    <w:p w:rsidR="00FE419E" w:rsidRDefault="00FE419E" w:rsidP="00FE419E">
      <w:pPr>
        <w:spacing w:after="124"/>
        <w:ind w:left="-5" w:right="0"/>
      </w:pPr>
      <w:r>
        <w:rPr>
          <w:b/>
        </w:rPr>
        <w:t xml:space="preserve">Formato de los trabajos: </w:t>
      </w:r>
    </w:p>
    <w:p w:rsidR="00FE419E" w:rsidRDefault="00FE419E" w:rsidP="00FE419E">
      <w:pPr>
        <w:numPr>
          <w:ilvl w:val="0"/>
          <w:numId w:val="2"/>
        </w:numPr>
        <w:spacing w:after="0" w:line="325" w:lineRule="auto"/>
        <w:ind w:right="0" w:hanging="360"/>
      </w:pPr>
      <w:r>
        <w:t xml:space="preserve">Título (en mayúscula y no más de 15 palabras). (En español e inglés) </w:t>
      </w:r>
      <w:r>
        <w:rPr>
          <w:rFonts w:ascii="Segoe UI Symbol" w:eastAsia="Segoe UI Symbol" w:hAnsi="Segoe UI Symbol" w:cs="Segoe UI Symbol"/>
        </w:rPr>
        <w:t></w:t>
      </w:r>
      <w:r>
        <w:t xml:space="preserve"> Autor y coautores (</w:t>
      </w:r>
      <w:r>
        <w:rPr>
          <w:b/>
        </w:rPr>
        <w:t>no más de tres</w:t>
      </w:r>
      <w:r>
        <w:t xml:space="preserve">), con sus correos electrónicos.  </w:t>
      </w:r>
    </w:p>
    <w:p w:rsidR="00FE419E" w:rsidRDefault="00FE419E" w:rsidP="00FE419E">
      <w:pPr>
        <w:numPr>
          <w:ilvl w:val="0"/>
          <w:numId w:val="2"/>
        </w:numPr>
        <w:spacing w:after="15" w:line="361" w:lineRule="auto"/>
        <w:ind w:right="0" w:hanging="360"/>
      </w:pPr>
      <w:r>
        <w:t xml:space="preserve">Institución y país por autores y coautores (si tiene cargos en la institución lo debe aclarar, por ejemplo, si es jefe de Departamento, Director, Decano, Vicerrector o Rector y si tiene grado científico de Máster o Doctor).  </w:t>
      </w:r>
    </w:p>
    <w:p w:rsidR="00FE419E" w:rsidRDefault="00FE419E" w:rsidP="00FE419E">
      <w:pPr>
        <w:numPr>
          <w:ilvl w:val="0"/>
          <w:numId w:val="2"/>
        </w:numPr>
        <w:spacing w:after="79"/>
        <w:ind w:right="0" w:hanging="360"/>
      </w:pPr>
      <w:r>
        <w:t xml:space="preserve">Resumen del trabajo (extensión máxima de 250 palabras). (En español e inglés) </w:t>
      </w:r>
    </w:p>
    <w:p w:rsidR="00FE419E" w:rsidRDefault="00FE419E" w:rsidP="00FE419E">
      <w:pPr>
        <w:numPr>
          <w:ilvl w:val="0"/>
          <w:numId w:val="2"/>
        </w:numPr>
        <w:spacing w:after="81"/>
        <w:ind w:right="0" w:hanging="360"/>
      </w:pPr>
      <w:r>
        <w:t>Palabras claves. (En español e inglés)</w:t>
      </w:r>
    </w:p>
    <w:p w:rsidR="00FE419E" w:rsidRDefault="00FE419E" w:rsidP="00FE419E">
      <w:pPr>
        <w:numPr>
          <w:ilvl w:val="0"/>
          <w:numId w:val="2"/>
        </w:numPr>
        <w:spacing w:after="16" w:line="360" w:lineRule="auto"/>
        <w:ind w:right="0" w:hanging="360"/>
      </w:pPr>
      <w:r>
        <w:t xml:space="preserve">Texto del trabajo (debe tener una introducción donde se precisen claramente los objetivos del trabajo, el desarrollo del trabajo agrupado en epígrafes, las conclusiones, las referencias bibliográficas y, además, si lo requiere los anexos, donde aparecen las tablas y figuras). </w:t>
      </w:r>
    </w:p>
    <w:p w:rsidR="00FE419E" w:rsidRDefault="00FE419E" w:rsidP="00FE419E">
      <w:pPr>
        <w:numPr>
          <w:ilvl w:val="0"/>
          <w:numId w:val="2"/>
        </w:numPr>
        <w:ind w:right="0" w:hanging="360"/>
      </w:pPr>
      <w:r>
        <w:t xml:space="preserve">La norma a emplear para realizar los asentamientos bibliográficos será la norma APA. </w:t>
      </w:r>
    </w:p>
    <w:p w:rsidR="00FE419E" w:rsidRDefault="00FE419E" w:rsidP="00FE419E">
      <w:pPr>
        <w:spacing w:after="0" w:line="360" w:lineRule="auto"/>
        <w:ind w:left="355" w:right="0"/>
      </w:pPr>
      <w:r>
        <w:rPr>
          <w:b/>
        </w:rPr>
        <w:t>Idiomas de los trabajos.</w:t>
      </w:r>
      <w:r>
        <w:t xml:space="preserve"> Los trabajos pueden estar escritos en español, inglés o portugués. </w:t>
      </w:r>
      <w:r>
        <w:rPr>
          <w:b/>
        </w:rPr>
        <w:t>El título, el resumen y las palabras claves estarán en el mismo idioma</w:t>
      </w:r>
      <w:r>
        <w:t xml:space="preserve"> que el trabajo, pero en los casos de español y portugués debe adicionarse la traducción al inglés y en el caso de los trabajos presentados en inglés adjuntarán estos elementos en español.  </w:t>
      </w:r>
    </w:p>
    <w:p w:rsidR="00FE419E" w:rsidRDefault="00FE419E" w:rsidP="00FE419E">
      <w:pPr>
        <w:spacing w:after="15" w:line="361" w:lineRule="auto"/>
        <w:ind w:left="355" w:right="0"/>
      </w:pPr>
      <w:r>
        <w:t xml:space="preserve">La aprobación de los trabajos para el Congreso estará sujeta al cumplimiento de </w:t>
      </w:r>
      <w:r>
        <w:rPr>
          <w:b/>
        </w:rPr>
        <w:t>indicadores de rigor científico</w:t>
      </w:r>
      <w:r>
        <w:t xml:space="preserve"> que son: </w:t>
      </w:r>
    </w:p>
    <w:p w:rsidR="00FE419E" w:rsidRDefault="00FE419E" w:rsidP="00FE419E">
      <w:pPr>
        <w:numPr>
          <w:ilvl w:val="0"/>
          <w:numId w:val="2"/>
        </w:numPr>
        <w:spacing w:after="81" w:line="240" w:lineRule="auto"/>
        <w:ind w:right="0" w:hanging="360"/>
      </w:pPr>
      <w:r>
        <w:t xml:space="preserve">Que responda a un tema de la actualidad reconocida por la comunidad científica. </w:t>
      </w:r>
    </w:p>
    <w:p w:rsidR="00FE419E" w:rsidRPr="00A8576A" w:rsidRDefault="00FE419E" w:rsidP="00FE419E">
      <w:pPr>
        <w:pStyle w:val="Prrafodelista"/>
        <w:numPr>
          <w:ilvl w:val="0"/>
          <w:numId w:val="2"/>
        </w:numPr>
        <w:spacing w:after="0" w:line="240" w:lineRule="auto"/>
        <w:ind w:hanging="360"/>
        <w:jc w:val="both"/>
        <w:rPr>
          <w:rFonts w:ascii="Arial" w:hAnsi="Arial" w:cs="Arial"/>
          <w:bCs/>
          <w:color w:val="000000"/>
          <w:szCs w:val="24"/>
        </w:rPr>
      </w:pPr>
      <w:r>
        <w:rPr>
          <w:rFonts w:ascii="Arial" w:hAnsi="Arial" w:cs="Arial"/>
          <w:bCs/>
          <w:color w:val="000000"/>
          <w:szCs w:val="24"/>
        </w:rPr>
        <w:t>Que responda a la visión general del Congreso.</w:t>
      </w:r>
    </w:p>
    <w:p w:rsidR="00FE419E" w:rsidRDefault="00FE419E" w:rsidP="00FE419E">
      <w:pPr>
        <w:numPr>
          <w:ilvl w:val="0"/>
          <w:numId w:val="2"/>
        </w:numPr>
        <w:spacing w:after="78" w:line="240" w:lineRule="auto"/>
        <w:ind w:right="0" w:hanging="360"/>
      </w:pPr>
      <w:r>
        <w:t xml:space="preserve">Uso de referencias bibliográficas de actualidad y de reconocidos autores sobre el tema. </w:t>
      </w:r>
    </w:p>
    <w:p w:rsidR="00FE419E" w:rsidRDefault="00FE419E" w:rsidP="00FE419E">
      <w:pPr>
        <w:numPr>
          <w:ilvl w:val="0"/>
          <w:numId w:val="2"/>
        </w:numPr>
        <w:spacing w:after="78" w:line="240" w:lineRule="auto"/>
        <w:ind w:right="0" w:hanging="360"/>
      </w:pPr>
      <w:r>
        <w:t xml:space="preserve">Uso de un lenguaje claro, preciso y utilizando conocimientos científicos.  </w:t>
      </w:r>
    </w:p>
    <w:p w:rsidR="00FE419E" w:rsidRDefault="00FE419E" w:rsidP="00FE419E">
      <w:pPr>
        <w:numPr>
          <w:ilvl w:val="0"/>
          <w:numId w:val="2"/>
        </w:numPr>
        <w:spacing w:line="240" w:lineRule="auto"/>
        <w:ind w:right="0" w:hanging="360"/>
      </w:pPr>
      <w:r>
        <w:t xml:space="preserve">Contribución del trabajo al enriquecimiento de la teoría y la práctica en el campo de la educación universitaria. </w:t>
      </w:r>
    </w:p>
    <w:p w:rsidR="00CE7875" w:rsidRDefault="00CE7875">
      <w:pPr>
        <w:rPr>
          <w:b/>
        </w:rPr>
      </w:pPr>
    </w:p>
    <w:p w:rsidR="00CE7875" w:rsidRDefault="00CE7875">
      <w:pPr>
        <w:rPr>
          <w:b/>
        </w:rPr>
      </w:pPr>
    </w:p>
    <w:p w:rsidR="005D2CE5" w:rsidRPr="00BE4816" w:rsidRDefault="00BE4816">
      <w:pPr>
        <w:rPr>
          <w:b/>
        </w:rPr>
      </w:pPr>
      <w:r w:rsidRPr="00BE4816">
        <w:rPr>
          <w:b/>
        </w:rPr>
        <w:lastRenderedPageBreak/>
        <w:t>Temáticas:</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 xml:space="preserve">La Educación Superior y los retos para el futuro: internacionalización, transformación digital, financiación y perspectiva informacional. </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 xml:space="preserve">Gestión de la Educación Superior. Calidad para un desarrollo sostenible. </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 xml:space="preserve">Extensión universitaria, compromiso y transformación social para un desarrollo sostenible. </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Formación de profesionales competentes desde una perspectiva inclusiva y equitativa, por un desarrollo sostenible.</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Universidad, conocimiento e innovación para el desarrollo sostenible.</w:t>
      </w:r>
    </w:p>
    <w:p w:rsidR="00BE4816" w:rsidRPr="00BE4816" w:rsidRDefault="00BE4816" w:rsidP="00BE4816">
      <w:pPr>
        <w:pStyle w:val="Prrafodelista"/>
        <w:numPr>
          <w:ilvl w:val="0"/>
          <w:numId w:val="12"/>
        </w:numPr>
        <w:spacing w:line="360" w:lineRule="auto"/>
        <w:jc w:val="both"/>
        <w:rPr>
          <w:rFonts w:ascii="Arial" w:hAnsi="Arial" w:cs="Arial"/>
          <w:sz w:val="24"/>
        </w:rPr>
      </w:pPr>
      <w:r w:rsidRPr="00BE4816">
        <w:rPr>
          <w:rFonts w:ascii="Arial" w:hAnsi="Arial" w:cs="Arial"/>
          <w:sz w:val="24"/>
        </w:rPr>
        <w:t>“La relación Universidad Empresa, motor impulsor de la ciencia, la innovación, la pertinencia de la educación superior y el desarrollo sostenible”</w:t>
      </w:r>
      <w:r>
        <w:rPr>
          <w:rFonts w:ascii="Arial" w:hAnsi="Arial" w:cs="Arial"/>
          <w:sz w:val="24"/>
        </w:rPr>
        <w:t>.</w:t>
      </w:r>
    </w:p>
    <w:p w:rsidR="00BE4816" w:rsidRDefault="00BE4816"/>
    <w:sectPr w:rsidR="00BE4816" w:rsidSect="003A1606">
      <w:headerReference w:type="even" r:id="rId7"/>
      <w:headerReference w:type="default" r:id="rId8"/>
      <w:footerReference w:type="even" r:id="rId9"/>
      <w:footerReference w:type="default" r:id="rId10"/>
      <w:headerReference w:type="first" r:id="rId11"/>
      <w:footerReference w:type="first" r:id="rId12"/>
      <w:pgSz w:w="12240" w:h="15840" w:code="1"/>
      <w:pgMar w:top="1134" w:right="1134" w:bottom="1134" w:left="1134" w:header="113"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FEE" w:rsidRDefault="009B2FEE">
      <w:pPr>
        <w:spacing w:after="0" w:line="240" w:lineRule="auto"/>
      </w:pPr>
      <w:r>
        <w:separator/>
      </w:r>
    </w:p>
  </w:endnote>
  <w:endnote w:type="continuationSeparator" w:id="0">
    <w:p w:rsidR="009B2FEE" w:rsidRDefault="009B2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A4588D" w:rsidRDefault="00CE7875">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0" w:right="-1" w:firstLine="0"/>
      <w:jc w:val="right"/>
    </w:pPr>
    <w:r>
      <w:fldChar w:fldCharType="begin"/>
    </w:r>
    <w:r>
      <w:instrText xml:space="preserve"> PAGE   \* MERGEFORMAT </w:instrText>
    </w:r>
    <w:r>
      <w:fldChar w:fldCharType="separate"/>
    </w:r>
    <w:r w:rsidR="00792A75" w:rsidRPr="00792A75">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A4588D" w:rsidRDefault="00CE7875">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A4588D" w:rsidRDefault="00CE7875">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FEE" w:rsidRDefault="009B2FEE">
      <w:pPr>
        <w:spacing w:after="0" w:line="240" w:lineRule="auto"/>
      </w:pPr>
      <w:r>
        <w:separator/>
      </w:r>
    </w:p>
  </w:footnote>
  <w:footnote w:type="continuationSeparator" w:id="0">
    <w:p w:rsidR="009B2FEE" w:rsidRDefault="009B2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1" w:right="-406" w:firstLine="0"/>
      <w:jc w:val="right"/>
    </w:pPr>
    <w:r>
      <w:rPr>
        <w:noProof/>
      </w:rPr>
      <w:drawing>
        <wp:anchor distT="0" distB="0" distL="114300" distR="114300" simplePos="0" relativeHeight="251659264" behindDoc="0" locked="0" layoutInCell="1" allowOverlap="0" wp14:anchorId="66A5DBFD" wp14:editId="03F56E1A">
          <wp:simplePos x="0" y="0"/>
          <wp:positionH relativeFrom="page">
            <wp:posOffset>540385</wp:posOffset>
          </wp:positionH>
          <wp:positionV relativeFrom="page">
            <wp:posOffset>71755</wp:posOffset>
          </wp:positionV>
          <wp:extent cx="6730746" cy="1225550"/>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6730746" cy="1225550"/>
                  </a:xfrm>
                  <a:prstGeom prst="rect">
                    <a:avLst/>
                  </a:prstGeom>
                </pic:spPr>
              </pic:pic>
            </a:graphicData>
          </a:graphic>
        </wp:anchor>
      </w:drawing>
    </w:r>
    <w:r>
      <w:rPr>
        <w:rFonts w:ascii="Calibri" w:eastAsia="Calibri" w:hAnsi="Calibri" w:cs="Calibri"/>
        <w:sz w:val="28"/>
      </w:rPr>
      <w:t xml:space="preserve"> </w:t>
    </w:r>
  </w:p>
  <w:p w:rsidR="00A4588D" w:rsidRDefault="00CE7875">
    <w:pPr>
      <w:spacing w:after="0" w:line="259" w:lineRule="auto"/>
      <w:ind w:left="0" w:right="289" w:firstLine="0"/>
      <w:jc w:val="center"/>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1" w:right="-406" w:firstLine="0"/>
      <w:jc w:val="right"/>
    </w:pPr>
    <w:r>
      <w:rPr>
        <w:rFonts w:ascii="Calibri" w:eastAsia="Calibri" w:hAnsi="Calibri" w:cs="Calibri"/>
        <w:sz w:val="28"/>
      </w:rPr>
      <w:t xml:space="preserve"> </w:t>
    </w:r>
  </w:p>
  <w:tbl>
    <w:tblPr>
      <w:tblW w:w="10176" w:type="dxa"/>
      <w:tblInd w:w="-572" w:type="dxa"/>
      <w:tblLook w:val="04A0" w:firstRow="1" w:lastRow="0" w:firstColumn="1" w:lastColumn="0" w:noHBand="0" w:noVBand="1"/>
    </w:tblPr>
    <w:tblGrid>
      <w:gridCol w:w="3283"/>
      <w:gridCol w:w="6893"/>
    </w:tblGrid>
    <w:tr w:rsidR="00EE3474" w:rsidRPr="0026235F" w:rsidTr="004B3B0B">
      <w:trPr>
        <w:trHeight w:val="625"/>
      </w:trPr>
      <w:tc>
        <w:tcPr>
          <w:tcW w:w="3283" w:type="dxa"/>
          <w:shd w:val="clear" w:color="auto" w:fill="auto"/>
        </w:tcPr>
        <w:p w:rsidR="00EE3474" w:rsidRPr="0026235F" w:rsidRDefault="00CE7875" w:rsidP="00EE3474">
          <w:pPr>
            <w:pStyle w:val="Encabezado"/>
            <w:rPr>
              <w:lang w:eastAsia="x-none" w:bidi="x-none"/>
            </w:rPr>
          </w:pPr>
          <w:r w:rsidRPr="00A05100">
            <w:rPr>
              <w:noProof/>
              <w:lang w:val="es-MX" w:eastAsia="es-MX"/>
            </w:rPr>
            <w:drawing>
              <wp:inline distT="0" distB="0" distL="0" distR="0" wp14:anchorId="798D9237" wp14:editId="472F3FB7">
                <wp:extent cx="1871345" cy="55499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554990"/>
                        </a:xfrm>
                        <a:prstGeom prst="rect">
                          <a:avLst/>
                        </a:prstGeom>
                        <a:noFill/>
                        <a:ln>
                          <a:noFill/>
                        </a:ln>
                      </pic:spPr>
                    </pic:pic>
                  </a:graphicData>
                </a:graphic>
              </wp:inline>
            </w:drawing>
          </w:r>
        </w:p>
      </w:tc>
      <w:tc>
        <w:tcPr>
          <w:tcW w:w="6893" w:type="dxa"/>
          <w:shd w:val="clear" w:color="auto" w:fill="auto"/>
        </w:tcPr>
        <w:p w:rsidR="00EE3474" w:rsidRPr="00A05100" w:rsidRDefault="00CE7875" w:rsidP="00EE3474">
          <w:pPr>
            <w:pStyle w:val="Encabezado"/>
            <w:jc w:val="center"/>
            <w:rPr>
              <w:b/>
              <w:i/>
              <w:color w:val="002060"/>
              <w:lang w:eastAsia="x-none" w:bidi="x-none"/>
            </w:rPr>
          </w:pPr>
          <w:r w:rsidRPr="00A05100">
            <w:rPr>
              <w:b/>
              <w:i/>
              <w:color w:val="002060"/>
              <w:lang w:eastAsia="x-none" w:bidi="x-none"/>
            </w:rPr>
            <w:t>Congreso Internacional de Educación Superior “Universidad 2026”</w:t>
          </w:r>
        </w:p>
        <w:p w:rsidR="00EE3474" w:rsidRPr="0026235F" w:rsidRDefault="00CE7875" w:rsidP="00EE3474">
          <w:pPr>
            <w:pStyle w:val="Encabezado"/>
            <w:jc w:val="center"/>
            <w:rPr>
              <w:lang w:eastAsia="x-none" w:bidi="x-none"/>
            </w:rPr>
          </w:pPr>
          <w:r w:rsidRPr="00A05100">
            <w:rPr>
              <w:b/>
              <w:i/>
              <w:color w:val="002060"/>
              <w:lang w:eastAsia="x-none" w:bidi="x-none"/>
            </w:rPr>
            <w:t>15</w:t>
          </w:r>
          <w:r w:rsidRPr="00DB3E2E">
            <w:rPr>
              <w:b/>
              <w:i/>
              <w:color w:val="002060"/>
              <w:vertAlign w:val="superscript"/>
              <w:lang w:eastAsia="x-none" w:bidi="x-none"/>
            </w:rPr>
            <w:t>to.</w:t>
          </w:r>
          <w:r w:rsidRPr="00A05100">
            <w:rPr>
              <w:b/>
              <w:i/>
              <w:color w:val="002060"/>
              <w:lang w:eastAsia="x-none" w:bidi="x-none"/>
            </w:rPr>
            <w:t xml:space="preserve"> Congreso Internacional del 9 al 13 de febrero del 2026</w:t>
          </w:r>
        </w:p>
      </w:tc>
    </w:tr>
  </w:tbl>
  <w:p w:rsidR="00A4588D" w:rsidRDefault="00CE7875">
    <w:pPr>
      <w:spacing w:after="0" w:line="259" w:lineRule="auto"/>
      <w:ind w:left="0" w:right="289" w:firstLine="0"/>
      <w:jc w:val="center"/>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8D" w:rsidRDefault="00CE7875">
    <w:pPr>
      <w:spacing w:after="0" w:line="259" w:lineRule="auto"/>
      <w:ind w:left="-1" w:right="-406" w:firstLine="0"/>
      <w:jc w:val="right"/>
    </w:pPr>
    <w:r>
      <w:rPr>
        <w:noProof/>
      </w:rPr>
      <w:drawing>
        <wp:anchor distT="0" distB="0" distL="114300" distR="114300" simplePos="0" relativeHeight="251660288" behindDoc="0" locked="0" layoutInCell="1" allowOverlap="0" wp14:anchorId="7AAC3382" wp14:editId="3B40EEE0">
          <wp:simplePos x="0" y="0"/>
          <wp:positionH relativeFrom="page">
            <wp:posOffset>540385</wp:posOffset>
          </wp:positionH>
          <wp:positionV relativeFrom="page">
            <wp:posOffset>71755</wp:posOffset>
          </wp:positionV>
          <wp:extent cx="6730746" cy="1225550"/>
          <wp:effectExtent l="0" t="0" r="0" b="0"/>
          <wp:wrapSquare wrapText="bothSides"/>
          <wp:docPr id="2"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6730746" cy="1225550"/>
                  </a:xfrm>
                  <a:prstGeom prst="rect">
                    <a:avLst/>
                  </a:prstGeom>
                </pic:spPr>
              </pic:pic>
            </a:graphicData>
          </a:graphic>
        </wp:anchor>
      </w:drawing>
    </w:r>
    <w:r>
      <w:rPr>
        <w:rFonts w:ascii="Calibri" w:eastAsia="Calibri" w:hAnsi="Calibri" w:cs="Calibri"/>
        <w:sz w:val="28"/>
      </w:rPr>
      <w:t xml:space="preserve"> </w:t>
    </w:r>
  </w:p>
  <w:p w:rsidR="00A4588D" w:rsidRDefault="00CE7875">
    <w:pPr>
      <w:spacing w:after="0" w:line="259" w:lineRule="auto"/>
      <w:ind w:left="0" w:right="289" w:firstLine="0"/>
      <w:jc w:val="center"/>
    </w:pPr>
    <w:r>
      <w:rPr>
        <w:rFonts w:ascii="Calibri" w:eastAsia="Calibri" w:hAnsi="Calibri" w:cs="Calibri"/>
        <w:sz w:val="22"/>
      </w:rPr>
      <w:t xml:space="preserve"> </w:t>
    </w:r>
    <w:r>
      <w:rPr>
        <w:rFonts w:ascii="Calibri" w:eastAsia="Calibri" w:hAnsi="Calibri" w:cs="Calibri"/>
        <w:sz w:val="22"/>
      </w:rPr>
      <w:tab/>
      <w:t xml:space="preserve"> </w:t>
    </w:r>
    <w:r>
      <w:rPr>
        <w:rFonts w:ascii="Calibri" w:eastAsia="Calibri" w:hAnsi="Calibri" w:cs="Calibri"/>
        <w:sz w:val="22"/>
      </w:rPr>
      <w:tab/>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75AC"/>
    <w:multiLevelType w:val="hybridMultilevel"/>
    <w:tmpl w:val="4F025570"/>
    <w:lvl w:ilvl="0" w:tplc="37E6CF4C">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6AEF18">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2262200">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D3A06E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9A873E">
      <w:start w:val="1"/>
      <w:numFmt w:val="bullet"/>
      <w:lvlText w:val="o"/>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6E2F9EA">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876EA3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A5CF6F4">
      <w:start w:val="1"/>
      <w:numFmt w:val="bullet"/>
      <w:lvlText w:val="o"/>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7486EE8">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2E92F32"/>
    <w:multiLevelType w:val="hybridMultilevel"/>
    <w:tmpl w:val="93F8F502"/>
    <w:lvl w:ilvl="0" w:tplc="0C0A0001">
      <w:start w:val="1"/>
      <w:numFmt w:val="bullet"/>
      <w:lvlText w:val=""/>
      <w:lvlJc w:val="left"/>
      <w:pPr>
        <w:ind w:left="371" w:hanging="360"/>
      </w:pPr>
      <w:rPr>
        <w:rFonts w:ascii="Symbol" w:hAnsi="Symbol" w:hint="default"/>
      </w:rPr>
    </w:lvl>
    <w:lvl w:ilvl="1" w:tplc="0409000D">
      <w:start w:val="1"/>
      <w:numFmt w:val="bullet"/>
      <w:lvlText w:val=""/>
      <w:lvlJc w:val="left"/>
      <w:pPr>
        <w:ind w:left="1091" w:hanging="360"/>
      </w:pPr>
      <w:rPr>
        <w:rFonts w:ascii="Wingdings" w:hAnsi="Wingdings" w:hint="default"/>
      </w:rPr>
    </w:lvl>
    <w:lvl w:ilvl="2" w:tplc="0C0A0005" w:tentative="1">
      <w:start w:val="1"/>
      <w:numFmt w:val="bullet"/>
      <w:lvlText w:val=""/>
      <w:lvlJc w:val="left"/>
      <w:pPr>
        <w:ind w:left="1811" w:hanging="360"/>
      </w:pPr>
      <w:rPr>
        <w:rFonts w:ascii="Wingdings" w:hAnsi="Wingdings" w:hint="default"/>
      </w:rPr>
    </w:lvl>
    <w:lvl w:ilvl="3" w:tplc="0C0A0001" w:tentative="1">
      <w:start w:val="1"/>
      <w:numFmt w:val="bullet"/>
      <w:lvlText w:val=""/>
      <w:lvlJc w:val="left"/>
      <w:pPr>
        <w:ind w:left="2531" w:hanging="360"/>
      </w:pPr>
      <w:rPr>
        <w:rFonts w:ascii="Symbol" w:hAnsi="Symbol" w:hint="default"/>
      </w:rPr>
    </w:lvl>
    <w:lvl w:ilvl="4" w:tplc="0C0A0003" w:tentative="1">
      <w:start w:val="1"/>
      <w:numFmt w:val="bullet"/>
      <w:lvlText w:val="o"/>
      <w:lvlJc w:val="left"/>
      <w:pPr>
        <w:ind w:left="3251" w:hanging="360"/>
      </w:pPr>
      <w:rPr>
        <w:rFonts w:ascii="Courier New" w:hAnsi="Courier New" w:cs="Courier New" w:hint="default"/>
      </w:rPr>
    </w:lvl>
    <w:lvl w:ilvl="5" w:tplc="0C0A0005" w:tentative="1">
      <w:start w:val="1"/>
      <w:numFmt w:val="bullet"/>
      <w:lvlText w:val=""/>
      <w:lvlJc w:val="left"/>
      <w:pPr>
        <w:ind w:left="3971" w:hanging="360"/>
      </w:pPr>
      <w:rPr>
        <w:rFonts w:ascii="Wingdings" w:hAnsi="Wingdings" w:hint="default"/>
      </w:rPr>
    </w:lvl>
    <w:lvl w:ilvl="6" w:tplc="0C0A0001" w:tentative="1">
      <w:start w:val="1"/>
      <w:numFmt w:val="bullet"/>
      <w:lvlText w:val=""/>
      <w:lvlJc w:val="left"/>
      <w:pPr>
        <w:ind w:left="4691" w:hanging="360"/>
      </w:pPr>
      <w:rPr>
        <w:rFonts w:ascii="Symbol" w:hAnsi="Symbol" w:hint="default"/>
      </w:rPr>
    </w:lvl>
    <w:lvl w:ilvl="7" w:tplc="0C0A0003" w:tentative="1">
      <w:start w:val="1"/>
      <w:numFmt w:val="bullet"/>
      <w:lvlText w:val="o"/>
      <w:lvlJc w:val="left"/>
      <w:pPr>
        <w:ind w:left="5411" w:hanging="360"/>
      </w:pPr>
      <w:rPr>
        <w:rFonts w:ascii="Courier New" w:hAnsi="Courier New" w:cs="Courier New" w:hint="default"/>
      </w:rPr>
    </w:lvl>
    <w:lvl w:ilvl="8" w:tplc="0C0A0005" w:tentative="1">
      <w:start w:val="1"/>
      <w:numFmt w:val="bullet"/>
      <w:lvlText w:val=""/>
      <w:lvlJc w:val="left"/>
      <w:pPr>
        <w:ind w:left="6131" w:hanging="360"/>
      </w:pPr>
      <w:rPr>
        <w:rFonts w:ascii="Wingdings" w:hAnsi="Wingdings" w:hint="default"/>
      </w:rPr>
    </w:lvl>
  </w:abstractNum>
  <w:abstractNum w:abstractNumId="2" w15:restartNumberingAfterBreak="0">
    <w:nsid w:val="1307342D"/>
    <w:multiLevelType w:val="hybridMultilevel"/>
    <w:tmpl w:val="CAF47FB6"/>
    <w:lvl w:ilvl="0" w:tplc="5C0A000D">
      <w:start w:val="1"/>
      <w:numFmt w:val="bullet"/>
      <w:lvlText w:val=""/>
      <w:lvlJc w:val="left"/>
      <w:pPr>
        <w:ind w:left="720" w:hanging="360"/>
      </w:pPr>
      <w:rPr>
        <w:rFonts w:ascii="Wingdings" w:hAnsi="Wingdings"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 w15:restartNumberingAfterBreak="0">
    <w:nsid w:val="21865146"/>
    <w:multiLevelType w:val="hybridMultilevel"/>
    <w:tmpl w:val="7CD8D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824816"/>
    <w:multiLevelType w:val="hybridMultilevel"/>
    <w:tmpl w:val="8746225C"/>
    <w:lvl w:ilvl="0" w:tplc="080A0001">
      <w:start w:val="1"/>
      <w:numFmt w:val="bullet"/>
      <w:lvlText w:val=""/>
      <w:lvlJc w:val="left"/>
      <w:pPr>
        <w:ind w:left="370" w:hanging="360"/>
      </w:pPr>
      <w:rPr>
        <w:rFonts w:ascii="Symbol" w:hAnsi="Symbol" w:hint="default"/>
      </w:rPr>
    </w:lvl>
    <w:lvl w:ilvl="1" w:tplc="080A0003" w:tentative="1">
      <w:start w:val="1"/>
      <w:numFmt w:val="bullet"/>
      <w:lvlText w:val="o"/>
      <w:lvlJc w:val="left"/>
      <w:pPr>
        <w:ind w:left="1090" w:hanging="360"/>
      </w:pPr>
      <w:rPr>
        <w:rFonts w:ascii="Courier New" w:hAnsi="Courier New" w:cs="Courier New" w:hint="default"/>
      </w:rPr>
    </w:lvl>
    <w:lvl w:ilvl="2" w:tplc="080A0005" w:tentative="1">
      <w:start w:val="1"/>
      <w:numFmt w:val="bullet"/>
      <w:lvlText w:val=""/>
      <w:lvlJc w:val="left"/>
      <w:pPr>
        <w:ind w:left="1810" w:hanging="360"/>
      </w:pPr>
      <w:rPr>
        <w:rFonts w:ascii="Wingdings" w:hAnsi="Wingdings" w:hint="default"/>
      </w:rPr>
    </w:lvl>
    <w:lvl w:ilvl="3" w:tplc="080A0001" w:tentative="1">
      <w:start w:val="1"/>
      <w:numFmt w:val="bullet"/>
      <w:lvlText w:val=""/>
      <w:lvlJc w:val="left"/>
      <w:pPr>
        <w:ind w:left="2530" w:hanging="360"/>
      </w:pPr>
      <w:rPr>
        <w:rFonts w:ascii="Symbol" w:hAnsi="Symbol" w:hint="default"/>
      </w:rPr>
    </w:lvl>
    <w:lvl w:ilvl="4" w:tplc="080A0003" w:tentative="1">
      <w:start w:val="1"/>
      <w:numFmt w:val="bullet"/>
      <w:lvlText w:val="o"/>
      <w:lvlJc w:val="left"/>
      <w:pPr>
        <w:ind w:left="3250" w:hanging="360"/>
      </w:pPr>
      <w:rPr>
        <w:rFonts w:ascii="Courier New" w:hAnsi="Courier New" w:cs="Courier New" w:hint="default"/>
      </w:rPr>
    </w:lvl>
    <w:lvl w:ilvl="5" w:tplc="080A0005" w:tentative="1">
      <w:start w:val="1"/>
      <w:numFmt w:val="bullet"/>
      <w:lvlText w:val=""/>
      <w:lvlJc w:val="left"/>
      <w:pPr>
        <w:ind w:left="3970" w:hanging="360"/>
      </w:pPr>
      <w:rPr>
        <w:rFonts w:ascii="Wingdings" w:hAnsi="Wingdings" w:hint="default"/>
      </w:rPr>
    </w:lvl>
    <w:lvl w:ilvl="6" w:tplc="080A0001" w:tentative="1">
      <w:start w:val="1"/>
      <w:numFmt w:val="bullet"/>
      <w:lvlText w:val=""/>
      <w:lvlJc w:val="left"/>
      <w:pPr>
        <w:ind w:left="4690" w:hanging="360"/>
      </w:pPr>
      <w:rPr>
        <w:rFonts w:ascii="Symbol" w:hAnsi="Symbol" w:hint="default"/>
      </w:rPr>
    </w:lvl>
    <w:lvl w:ilvl="7" w:tplc="080A0003" w:tentative="1">
      <w:start w:val="1"/>
      <w:numFmt w:val="bullet"/>
      <w:lvlText w:val="o"/>
      <w:lvlJc w:val="left"/>
      <w:pPr>
        <w:ind w:left="5410" w:hanging="360"/>
      </w:pPr>
      <w:rPr>
        <w:rFonts w:ascii="Courier New" w:hAnsi="Courier New" w:cs="Courier New" w:hint="default"/>
      </w:rPr>
    </w:lvl>
    <w:lvl w:ilvl="8" w:tplc="080A0005" w:tentative="1">
      <w:start w:val="1"/>
      <w:numFmt w:val="bullet"/>
      <w:lvlText w:val=""/>
      <w:lvlJc w:val="left"/>
      <w:pPr>
        <w:ind w:left="6130" w:hanging="360"/>
      </w:pPr>
      <w:rPr>
        <w:rFonts w:ascii="Wingdings" w:hAnsi="Wingdings" w:hint="default"/>
      </w:rPr>
    </w:lvl>
  </w:abstractNum>
  <w:abstractNum w:abstractNumId="5" w15:restartNumberingAfterBreak="0">
    <w:nsid w:val="2A2D2E93"/>
    <w:multiLevelType w:val="hybridMultilevel"/>
    <w:tmpl w:val="0F9892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0446B7"/>
    <w:multiLevelType w:val="hybridMultilevel"/>
    <w:tmpl w:val="59DA7B76"/>
    <w:lvl w:ilvl="0" w:tplc="0C0A0001">
      <w:start w:val="1"/>
      <w:numFmt w:val="bullet"/>
      <w:lvlText w:val=""/>
      <w:lvlJc w:val="left"/>
      <w:pPr>
        <w:ind w:left="371" w:hanging="360"/>
      </w:pPr>
      <w:rPr>
        <w:rFonts w:ascii="Symbol" w:hAnsi="Symbol" w:hint="default"/>
      </w:rPr>
    </w:lvl>
    <w:lvl w:ilvl="1" w:tplc="0409000D">
      <w:start w:val="1"/>
      <w:numFmt w:val="bullet"/>
      <w:lvlText w:val=""/>
      <w:lvlJc w:val="left"/>
      <w:pPr>
        <w:ind w:left="1091" w:hanging="360"/>
      </w:pPr>
      <w:rPr>
        <w:rFonts w:ascii="Wingdings" w:hAnsi="Wingdings" w:hint="default"/>
      </w:rPr>
    </w:lvl>
    <w:lvl w:ilvl="2" w:tplc="0C0A0005" w:tentative="1">
      <w:start w:val="1"/>
      <w:numFmt w:val="bullet"/>
      <w:lvlText w:val=""/>
      <w:lvlJc w:val="left"/>
      <w:pPr>
        <w:ind w:left="1811" w:hanging="360"/>
      </w:pPr>
      <w:rPr>
        <w:rFonts w:ascii="Wingdings" w:hAnsi="Wingdings" w:hint="default"/>
      </w:rPr>
    </w:lvl>
    <w:lvl w:ilvl="3" w:tplc="0C0A0001" w:tentative="1">
      <w:start w:val="1"/>
      <w:numFmt w:val="bullet"/>
      <w:lvlText w:val=""/>
      <w:lvlJc w:val="left"/>
      <w:pPr>
        <w:ind w:left="2531" w:hanging="360"/>
      </w:pPr>
      <w:rPr>
        <w:rFonts w:ascii="Symbol" w:hAnsi="Symbol" w:hint="default"/>
      </w:rPr>
    </w:lvl>
    <w:lvl w:ilvl="4" w:tplc="0C0A0003" w:tentative="1">
      <w:start w:val="1"/>
      <w:numFmt w:val="bullet"/>
      <w:lvlText w:val="o"/>
      <w:lvlJc w:val="left"/>
      <w:pPr>
        <w:ind w:left="3251" w:hanging="360"/>
      </w:pPr>
      <w:rPr>
        <w:rFonts w:ascii="Courier New" w:hAnsi="Courier New" w:cs="Courier New" w:hint="default"/>
      </w:rPr>
    </w:lvl>
    <w:lvl w:ilvl="5" w:tplc="0C0A0005" w:tentative="1">
      <w:start w:val="1"/>
      <w:numFmt w:val="bullet"/>
      <w:lvlText w:val=""/>
      <w:lvlJc w:val="left"/>
      <w:pPr>
        <w:ind w:left="3971" w:hanging="360"/>
      </w:pPr>
      <w:rPr>
        <w:rFonts w:ascii="Wingdings" w:hAnsi="Wingdings" w:hint="default"/>
      </w:rPr>
    </w:lvl>
    <w:lvl w:ilvl="6" w:tplc="0C0A0001" w:tentative="1">
      <w:start w:val="1"/>
      <w:numFmt w:val="bullet"/>
      <w:lvlText w:val=""/>
      <w:lvlJc w:val="left"/>
      <w:pPr>
        <w:ind w:left="4691" w:hanging="360"/>
      </w:pPr>
      <w:rPr>
        <w:rFonts w:ascii="Symbol" w:hAnsi="Symbol" w:hint="default"/>
      </w:rPr>
    </w:lvl>
    <w:lvl w:ilvl="7" w:tplc="0C0A0003" w:tentative="1">
      <w:start w:val="1"/>
      <w:numFmt w:val="bullet"/>
      <w:lvlText w:val="o"/>
      <w:lvlJc w:val="left"/>
      <w:pPr>
        <w:ind w:left="5411" w:hanging="360"/>
      </w:pPr>
      <w:rPr>
        <w:rFonts w:ascii="Courier New" w:hAnsi="Courier New" w:cs="Courier New" w:hint="default"/>
      </w:rPr>
    </w:lvl>
    <w:lvl w:ilvl="8" w:tplc="0C0A0005" w:tentative="1">
      <w:start w:val="1"/>
      <w:numFmt w:val="bullet"/>
      <w:lvlText w:val=""/>
      <w:lvlJc w:val="left"/>
      <w:pPr>
        <w:ind w:left="6131" w:hanging="360"/>
      </w:pPr>
      <w:rPr>
        <w:rFonts w:ascii="Wingdings" w:hAnsi="Wingdings" w:hint="default"/>
      </w:rPr>
    </w:lvl>
  </w:abstractNum>
  <w:abstractNum w:abstractNumId="7" w15:restartNumberingAfterBreak="0">
    <w:nsid w:val="57FA6B1D"/>
    <w:multiLevelType w:val="hybridMultilevel"/>
    <w:tmpl w:val="15BE853E"/>
    <w:lvl w:ilvl="0" w:tplc="0C0A0001">
      <w:start w:val="1"/>
      <w:numFmt w:val="bullet"/>
      <w:lvlText w:val=""/>
      <w:lvlJc w:val="left"/>
      <w:pPr>
        <w:ind w:left="371" w:hanging="360"/>
      </w:pPr>
      <w:rPr>
        <w:rFonts w:ascii="Symbol" w:hAnsi="Symbol" w:hint="default"/>
      </w:rPr>
    </w:lvl>
    <w:lvl w:ilvl="1" w:tplc="0409000D">
      <w:start w:val="1"/>
      <w:numFmt w:val="bullet"/>
      <w:lvlText w:val=""/>
      <w:lvlJc w:val="left"/>
      <w:pPr>
        <w:ind w:left="8157" w:hanging="360"/>
      </w:pPr>
      <w:rPr>
        <w:rFonts w:ascii="Wingdings" w:hAnsi="Wingdings" w:hint="default"/>
      </w:rPr>
    </w:lvl>
    <w:lvl w:ilvl="2" w:tplc="44143CAA">
      <w:numFmt w:val="bullet"/>
      <w:lvlText w:val="•"/>
      <w:lvlJc w:val="left"/>
      <w:pPr>
        <w:ind w:left="2156" w:hanging="705"/>
      </w:pPr>
      <w:rPr>
        <w:rFonts w:ascii="Arial" w:eastAsia="Calibri" w:hAnsi="Arial" w:cs="Arial" w:hint="default"/>
      </w:rPr>
    </w:lvl>
    <w:lvl w:ilvl="3" w:tplc="0C0A0001" w:tentative="1">
      <w:start w:val="1"/>
      <w:numFmt w:val="bullet"/>
      <w:lvlText w:val=""/>
      <w:lvlJc w:val="left"/>
      <w:pPr>
        <w:ind w:left="2531" w:hanging="360"/>
      </w:pPr>
      <w:rPr>
        <w:rFonts w:ascii="Symbol" w:hAnsi="Symbol" w:hint="default"/>
      </w:rPr>
    </w:lvl>
    <w:lvl w:ilvl="4" w:tplc="0C0A0003" w:tentative="1">
      <w:start w:val="1"/>
      <w:numFmt w:val="bullet"/>
      <w:lvlText w:val="o"/>
      <w:lvlJc w:val="left"/>
      <w:pPr>
        <w:ind w:left="3251" w:hanging="360"/>
      </w:pPr>
      <w:rPr>
        <w:rFonts w:ascii="Courier New" w:hAnsi="Courier New" w:cs="Courier New" w:hint="default"/>
      </w:rPr>
    </w:lvl>
    <w:lvl w:ilvl="5" w:tplc="0C0A0005" w:tentative="1">
      <w:start w:val="1"/>
      <w:numFmt w:val="bullet"/>
      <w:lvlText w:val=""/>
      <w:lvlJc w:val="left"/>
      <w:pPr>
        <w:ind w:left="3971" w:hanging="360"/>
      </w:pPr>
      <w:rPr>
        <w:rFonts w:ascii="Wingdings" w:hAnsi="Wingdings" w:hint="default"/>
      </w:rPr>
    </w:lvl>
    <w:lvl w:ilvl="6" w:tplc="0C0A0001" w:tentative="1">
      <w:start w:val="1"/>
      <w:numFmt w:val="bullet"/>
      <w:lvlText w:val=""/>
      <w:lvlJc w:val="left"/>
      <w:pPr>
        <w:ind w:left="4691" w:hanging="360"/>
      </w:pPr>
      <w:rPr>
        <w:rFonts w:ascii="Symbol" w:hAnsi="Symbol" w:hint="default"/>
      </w:rPr>
    </w:lvl>
    <w:lvl w:ilvl="7" w:tplc="0C0A0003" w:tentative="1">
      <w:start w:val="1"/>
      <w:numFmt w:val="bullet"/>
      <w:lvlText w:val="o"/>
      <w:lvlJc w:val="left"/>
      <w:pPr>
        <w:ind w:left="5411" w:hanging="360"/>
      </w:pPr>
      <w:rPr>
        <w:rFonts w:ascii="Courier New" w:hAnsi="Courier New" w:cs="Courier New" w:hint="default"/>
      </w:rPr>
    </w:lvl>
    <w:lvl w:ilvl="8" w:tplc="0C0A0005" w:tentative="1">
      <w:start w:val="1"/>
      <w:numFmt w:val="bullet"/>
      <w:lvlText w:val=""/>
      <w:lvlJc w:val="left"/>
      <w:pPr>
        <w:ind w:left="6131" w:hanging="360"/>
      </w:pPr>
      <w:rPr>
        <w:rFonts w:ascii="Wingdings" w:hAnsi="Wingdings" w:hint="default"/>
      </w:rPr>
    </w:lvl>
  </w:abstractNum>
  <w:abstractNum w:abstractNumId="8" w15:restartNumberingAfterBreak="0">
    <w:nsid w:val="59D16519"/>
    <w:multiLevelType w:val="hybridMultilevel"/>
    <w:tmpl w:val="7E98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BE7956"/>
    <w:multiLevelType w:val="hybridMultilevel"/>
    <w:tmpl w:val="E318AA76"/>
    <w:lvl w:ilvl="0" w:tplc="0C0A0001">
      <w:start w:val="1"/>
      <w:numFmt w:val="bullet"/>
      <w:lvlText w:val=""/>
      <w:lvlJc w:val="left"/>
      <w:pPr>
        <w:ind w:left="371" w:hanging="360"/>
      </w:pPr>
      <w:rPr>
        <w:rFonts w:ascii="Symbol" w:hAnsi="Symbol" w:hint="default"/>
      </w:rPr>
    </w:lvl>
    <w:lvl w:ilvl="1" w:tplc="0409000D">
      <w:start w:val="1"/>
      <w:numFmt w:val="bullet"/>
      <w:lvlText w:val=""/>
      <w:lvlJc w:val="left"/>
      <w:pPr>
        <w:ind w:left="1091" w:hanging="360"/>
      </w:pPr>
      <w:rPr>
        <w:rFonts w:ascii="Wingdings" w:hAnsi="Wingdings" w:hint="default"/>
      </w:rPr>
    </w:lvl>
    <w:lvl w:ilvl="2" w:tplc="0C0A0005" w:tentative="1">
      <w:start w:val="1"/>
      <w:numFmt w:val="bullet"/>
      <w:lvlText w:val=""/>
      <w:lvlJc w:val="left"/>
      <w:pPr>
        <w:ind w:left="1811" w:hanging="360"/>
      </w:pPr>
      <w:rPr>
        <w:rFonts w:ascii="Wingdings" w:hAnsi="Wingdings" w:hint="default"/>
      </w:rPr>
    </w:lvl>
    <w:lvl w:ilvl="3" w:tplc="0C0A0001" w:tentative="1">
      <w:start w:val="1"/>
      <w:numFmt w:val="bullet"/>
      <w:lvlText w:val=""/>
      <w:lvlJc w:val="left"/>
      <w:pPr>
        <w:ind w:left="2531" w:hanging="360"/>
      </w:pPr>
      <w:rPr>
        <w:rFonts w:ascii="Symbol" w:hAnsi="Symbol" w:hint="default"/>
      </w:rPr>
    </w:lvl>
    <w:lvl w:ilvl="4" w:tplc="0C0A0003" w:tentative="1">
      <w:start w:val="1"/>
      <w:numFmt w:val="bullet"/>
      <w:lvlText w:val="o"/>
      <w:lvlJc w:val="left"/>
      <w:pPr>
        <w:ind w:left="3251" w:hanging="360"/>
      </w:pPr>
      <w:rPr>
        <w:rFonts w:ascii="Courier New" w:hAnsi="Courier New" w:cs="Courier New" w:hint="default"/>
      </w:rPr>
    </w:lvl>
    <w:lvl w:ilvl="5" w:tplc="0C0A0005" w:tentative="1">
      <w:start w:val="1"/>
      <w:numFmt w:val="bullet"/>
      <w:lvlText w:val=""/>
      <w:lvlJc w:val="left"/>
      <w:pPr>
        <w:ind w:left="3971" w:hanging="360"/>
      </w:pPr>
      <w:rPr>
        <w:rFonts w:ascii="Wingdings" w:hAnsi="Wingdings" w:hint="default"/>
      </w:rPr>
    </w:lvl>
    <w:lvl w:ilvl="6" w:tplc="0C0A0001" w:tentative="1">
      <w:start w:val="1"/>
      <w:numFmt w:val="bullet"/>
      <w:lvlText w:val=""/>
      <w:lvlJc w:val="left"/>
      <w:pPr>
        <w:ind w:left="4691" w:hanging="360"/>
      </w:pPr>
      <w:rPr>
        <w:rFonts w:ascii="Symbol" w:hAnsi="Symbol" w:hint="default"/>
      </w:rPr>
    </w:lvl>
    <w:lvl w:ilvl="7" w:tplc="0C0A0003" w:tentative="1">
      <w:start w:val="1"/>
      <w:numFmt w:val="bullet"/>
      <w:lvlText w:val="o"/>
      <w:lvlJc w:val="left"/>
      <w:pPr>
        <w:ind w:left="5411" w:hanging="360"/>
      </w:pPr>
      <w:rPr>
        <w:rFonts w:ascii="Courier New" w:hAnsi="Courier New" w:cs="Courier New" w:hint="default"/>
      </w:rPr>
    </w:lvl>
    <w:lvl w:ilvl="8" w:tplc="0C0A0005" w:tentative="1">
      <w:start w:val="1"/>
      <w:numFmt w:val="bullet"/>
      <w:lvlText w:val=""/>
      <w:lvlJc w:val="left"/>
      <w:pPr>
        <w:ind w:left="6131" w:hanging="360"/>
      </w:pPr>
      <w:rPr>
        <w:rFonts w:ascii="Wingdings" w:hAnsi="Wingdings" w:hint="default"/>
      </w:rPr>
    </w:lvl>
  </w:abstractNum>
  <w:abstractNum w:abstractNumId="10" w15:restartNumberingAfterBreak="0">
    <w:nsid w:val="61387C24"/>
    <w:multiLevelType w:val="hybridMultilevel"/>
    <w:tmpl w:val="6DF6E93E"/>
    <w:lvl w:ilvl="0" w:tplc="0C0A0001">
      <w:start w:val="1"/>
      <w:numFmt w:val="bullet"/>
      <w:lvlText w:val=""/>
      <w:lvlJc w:val="left"/>
      <w:pPr>
        <w:ind w:left="371" w:hanging="360"/>
      </w:pPr>
      <w:rPr>
        <w:rFonts w:ascii="Symbol" w:hAnsi="Symbol" w:hint="default"/>
      </w:rPr>
    </w:lvl>
    <w:lvl w:ilvl="1" w:tplc="0409000D">
      <w:start w:val="1"/>
      <w:numFmt w:val="bullet"/>
      <w:lvlText w:val=""/>
      <w:lvlJc w:val="left"/>
      <w:pPr>
        <w:ind w:left="928" w:hanging="360"/>
      </w:pPr>
      <w:rPr>
        <w:rFonts w:ascii="Wingdings" w:hAnsi="Wingdings" w:hint="default"/>
      </w:rPr>
    </w:lvl>
    <w:lvl w:ilvl="2" w:tplc="0C0A0005" w:tentative="1">
      <w:start w:val="1"/>
      <w:numFmt w:val="bullet"/>
      <w:lvlText w:val=""/>
      <w:lvlJc w:val="left"/>
      <w:pPr>
        <w:ind w:left="1811" w:hanging="360"/>
      </w:pPr>
      <w:rPr>
        <w:rFonts w:ascii="Wingdings" w:hAnsi="Wingdings" w:hint="default"/>
      </w:rPr>
    </w:lvl>
    <w:lvl w:ilvl="3" w:tplc="0C0A0001" w:tentative="1">
      <w:start w:val="1"/>
      <w:numFmt w:val="bullet"/>
      <w:lvlText w:val=""/>
      <w:lvlJc w:val="left"/>
      <w:pPr>
        <w:ind w:left="2531" w:hanging="360"/>
      </w:pPr>
      <w:rPr>
        <w:rFonts w:ascii="Symbol" w:hAnsi="Symbol" w:hint="default"/>
      </w:rPr>
    </w:lvl>
    <w:lvl w:ilvl="4" w:tplc="0C0A0003" w:tentative="1">
      <w:start w:val="1"/>
      <w:numFmt w:val="bullet"/>
      <w:lvlText w:val="o"/>
      <w:lvlJc w:val="left"/>
      <w:pPr>
        <w:ind w:left="3251" w:hanging="360"/>
      </w:pPr>
      <w:rPr>
        <w:rFonts w:ascii="Courier New" w:hAnsi="Courier New" w:cs="Courier New" w:hint="default"/>
      </w:rPr>
    </w:lvl>
    <w:lvl w:ilvl="5" w:tplc="0C0A0005" w:tentative="1">
      <w:start w:val="1"/>
      <w:numFmt w:val="bullet"/>
      <w:lvlText w:val=""/>
      <w:lvlJc w:val="left"/>
      <w:pPr>
        <w:ind w:left="3971" w:hanging="360"/>
      </w:pPr>
      <w:rPr>
        <w:rFonts w:ascii="Wingdings" w:hAnsi="Wingdings" w:hint="default"/>
      </w:rPr>
    </w:lvl>
    <w:lvl w:ilvl="6" w:tplc="0C0A0001" w:tentative="1">
      <w:start w:val="1"/>
      <w:numFmt w:val="bullet"/>
      <w:lvlText w:val=""/>
      <w:lvlJc w:val="left"/>
      <w:pPr>
        <w:ind w:left="4691" w:hanging="360"/>
      </w:pPr>
      <w:rPr>
        <w:rFonts w:ascii="Symbol" w:hAnsi="Symbol" w:hint="default"/>
      </w:rPr>
    </w:lvl>
    <w:lvl w:ilvl="7" w:tplc="0C0A0003" w:tentative="1">
      <w:start w:val="1"/>
      <w:numFmt w:val="bullet"/>
      <w:lvlText w:val="o"/>
      <w:lvlJc w:val="left"/>
      <w:pPr>
        <w:ind w:left="5411" w:hanging="360"/>
      </w:pPr>
      <w:rPr>
        <w:rFonts w:ascii="Courier New" w:hAnsi="Courier New" w:cs="Courier New" w:hint="default"/>
      </w:rPr>
    </w:lvl>
    <w:lvl w:ilvl="8" w:tplc="0C0A0005" w:tentative="1">
      <w:start w:val="1"/>
      <w:numFmt w:val="bullet"/>
      <w:lvlText w:val=""/>
      <w:lvlJc w:val="left"/>
      <w:pPr>
        <w:ind w:left="6131" w:hanging="360"/>
      </w:pPr>
      <w:rPr>
        <w:rFonts w:ascii="Wingdings" w:hAnsi="Wingdings" w:hint="default"/>
      </w:rPr>
    </w:lvl>
  </w:abstractNum>
  <w:abstractNum w:abstractNumId="11" w15:restartNumberingAfterBreak="0">
    <w:nsid w:val="6C914688"/>
    <w:multiLevelType w:val="hybridMultilevel"/>
    <w:tmpl w:val="47E470B8"/>
    <w:lvl w:ilvl="0" w:tplc="A662732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24C0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0A2AE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BE71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3059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28E6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2A48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B4FB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0A3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1"/>
  </w:num>
  <w:num w:numId="3">
    <w:abstractNumId w:val="9"/>
  </w:num>
  <w:num w:numId="4">
    <w:abstractNumId w:val="2"/>
  </w:num>
  <w:num w:numId="5">
    <w:abstractNumId w:val="4"/>
  </w:num>
  <w:num w:numId="6">
    <w:abstractNumId w:val="1"/>
  </w:num>
  <w:num w:numId="7">
    <w:abstractNumId w:val="6"/>
  </w:num>
  <w:num w:numId="8">
    <w:abstractNumId w:val="10"/>
  </w:num>
  <w:num w:numId="9">
    <w:abstractNumId w:val="7"/>
  </w:num>
  <w:num w:numId="10">
    <w:abstractNumId w:val="8"/>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DFD"/>
    <w:rsid w:val="003A1606"/>
    <w:rsid w:val="005D2CE5"/>
    <w:rsid w:val="006D6DFD"/>
    <w:rsid w:val="00792A75"/>
    <w:rsid w:val="009B2FEE"/>
    <w:rsid w:val="00BE4816"/>
    <w:rsid w:val="00CE7875"/>
    <w:rsid w:val="00ED4376"/>
    <w:rsid w:val="00F770C0"/>
    <w:rsid w:val="00FE4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4A346-4E0F-4EE6-B442-5996FDF8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9E"/>
    <w:pPr>
      <w:spacing w:after="50" w:line="269" w:lineRule="auto"/>
      <w:ind w:left="10" w:right="3" w:hanging="10"/>
      <w:jc w:val="both"/>
    </w:pPr>
    <w:rPr>
      <w:rFonts w:ascii="Arial" w:eastAsia="Arial" w:hAnsi="Arial" w:cs="Arial"/>
      <w:color w:val="000000"/>
      <w:sz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E419E"/>
    <w:pPr>
      <w:tabs>
        <w:tab w:val="center" w:pos="4680"/>
        <w:tab w:val="right" w:pos="9360"/>
      </w:tabs>
      <w:spacing w:after="0" w:line="240" w:lineRule="auto"/>
      <w:ind w:left="0" w:right="0" w:firstLine="0"/>
      <w:jc w:val="left"/>
    </w:pPr>
    <w:rPr>
      <w:rFonts w:ascii="Calibri" w:eastAsia="Calibri" w:hAnsi="Calibri" w:cs="Calibri"/>
      <w:color w:val="auto"/>
      <w:sz w:val="22"/>
      <w:lang w:val="es-ES" w:eastAsia="es-ES"/>
    </w:rPr>
  </w:style>
  <w:style w:type="character" w:customStyle="1" w:styleId="EncabezadoCar">
    <w:name w:val="Encabezado Car"/>
    <w:basedOn w:val="Fuentedeprrafopredeter"/>
    <w:link w:val="Encabezado"/>
    <w:rsid w:val="00FE419E"/>
    <w:rPr>
      <w:rFonts w:ascii="Calibri" w:eastAsia="Calibri" w:hAnsi="Calibri" w:cs="Calibri"/>
      <w:lang w:val="es-ES" w:eastAsia="es-ES"/>
    </w:rPr>
  </w:style>
  <w:style w:type="paragraph" w:styleId="Prrafodelista">
    <w:name w:val="List Paragraph"/>
    <w:basedOn w:val="Normal"/>
    <w:uiPriority w:val="34"/>
    <w:qFormat/>
    <w:rsid w:val="00FE419E"/>
    <w:pPr>
      <w:spacing w:after="160" w:line="259" w:lineRule="auto"/>
      <w:ind w:left="720" w:right="0" w:firstLine="0"/>
      <w:contextualSpacing/>
      <w:jc w:val="left"/>
    </w:pPr>
    <w:rPr>
      <w:rFonts w:ascii="Calibri" w:eastAsia="Calibri" w:hAnsi="Calibri" w:cs="Times New Roman"/>
      <w:color w:val="auto"/>
      <w:sz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4869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dc:creator>
  <cp:keywords/>
  <dc:description/>
  <cp:lastModifiedBy>Bárbara Rosales Ramos</cp:lastModifiedBy>
  <cp:revision>2</cp:revision>
  <dcterms:created xsi:type="dcterms:W3CDTF">2025-03-19T14:33:00Z</dcterms:created>
  <dcterms:modified xsi:type="dcterms:W3CDTF">2025-03-19T14:33:00Z</dcterms:modified>
</cp:coreProperties>
</file>